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61703AE">
      <w:pPr>
        <w:jc w:val="center"/>
        <w:rPr>
          <w:rFonts w:hint="eastAsia"/>
          <w:b/>
          <w:bCs/>
          <w:sz w:val="28"/>
          <w:szCs w:val="28"/>
        </w:rPr>
      </w:pPr>
      <w:r>
        <w:rPr>
          <w:rFonts w:hint="eastAsia"/>
          <w:b/>
          <w:bCs/>
          <w:sz w:val="28"/>
          <w:szCs w:val="28"/>
        </w:rPr>
        <w:t>河南省新乡市中级人民法院硬件及网络安全运维服务采购项目竞争性磋商公告</w:t>
      </w:r>
    </w:p>
    <w:p w14:paraId="75624CCA">
      <w:pPr>
        <w:spacing w:line="360" w:lineRule="auto"/>
        <w:rPr>
          <w:rFonts w:cs="Times New Roman"/>
          <w:szCs w:val="21"/>
        </w:rPr>
      </w:pPr>
      <w:bookmarkStart w:id="0" w:name="OLE_LINK4"/>
      <w:bookmarkStart w:id="1" w:name="OLE_LINK2"/>
      <w:bookmarkStart w:id="2" w:name="OLE_LINK6"/>
      <w:bookmarkStart w:id="3" w:name="OLE_LINK5"/>
      <w:bookmarkStart w:id="4" w:name="OLE_LINK1"/>
      <w:bookmarkStart w:id="5" w:name="_Hlk54948924"/>
      <w:r>
        <w:rPr>
          <w:rFonts w:hint="eastAsia" w:cs="Times New Roman"/>
          <w:szCs w:val="21"/>
        </w:rPr>
        <w:t>项目概况</w:t>
      </w:r>
    </w:p>
    <w:p w14:paraId="641C2601">
      <w:pPr>
        <w:spacing w:line="360" w:lineRule="auto"/>
        <w:ind w:firstLine="420" w:firstLineChars="200"/>
        <w:rPr>
          <w:rFonts w:hint="eastAsia" w:cs="Times New Roman"/>
          <w:szCs w:val="21"/>
        </w:rPr>
      </w:pPr>
      <w:bookmarkStart w:id="6" w:name="OLE_LINK8"/>
      <w:r>
        <w:rPr>
          <w:rFonts w:hint="eastAsia" w:cs="Times New Roman"/>
          <w:szCs w:val="21"/>
        </w:rPr>
        <w:t>河南省新乡市中级人民法院</w:t>
      </w:r>
      <w:bookmarkEnd w:id="6"/>
      <w:r>
        <w:rPr>
          <w:rFonts w:hint="eastAsia" w:cs="Times New Roman"/>
          <w:szCs w:val="21"/>
        </w:rPr>
        <w:t>硬件及网络安全运维服务采购项目</w:t>
      </w:r>
      <w:r>
        <w:rPr>
          <w:rFonts w:hint="eastAsia" w:cs="宋体"/>
          <w:kern w:val="0"/>
          <w:szCs w:val="21"/>
        </w:rPr>
        <w:t>的潜在供应商应按磋商公告要求获取竞争性磋商文件，并于2025年04月27日15时00分（北京时间）前提交响应文件。</w:t>
      </w:r>
    </w:p>
    <w:p w14:paraId="315F49F7">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一、项目基本情况：</w:t>
      </w:r>
    </w:p>
    <w:p w14:paraId="228C39B9">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1、项目编号：</w:t>
      </w:r>
      <w:r>
        <w:rPr>
          <w:rFonts w:cs="Times New Roman"/>
          <w:bCs/>
          <w:color w:val="000000"/>
          <w:kern w:val="0"/>
          <w:szCs w:val="21"/>
        </w:rPr>
        <w:t>GMFT25054</w:t>
      </w:r>
      <w:bookmarkStart w:id="7" w:name="_GoBack"/>
      <w:bookmarkEnd w:id="7"/>
    </w:p>
    <w:p w14:paraId="752AD37B">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2、项目名称：河南省新乡市中级人民法院硬件及网络安全运维服务采购项目</w:t>
      </w:r>
    </w:p>
    <w:p w14:paraId="21291E7E">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3、采购方式：竞争性磋商</w:t>
      </w:r>
    </w:p>
    <w:p w14:paraId="7B90B4A7">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4、项目预算金额及最高限价</w:t>
      </w:r>
    </w:p>
    <w:tbl>
      <w:tblPr>
        <w:tblStyle w:val="15"/>
        <w:tblW w:w="9627" w:type="dxa"/>
        <w:tblInd w:w="13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782"/>
        <w:gridCol w:w="1924"/>
        <w:gridCol w:w="3468"/>
        <w:gridCol w:w="1527"/>
        <w:gridCol w:w="1926"/>
      </w:tblGrid>
      <w:tr w14:paraId="4531DDF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78" w:hRule="atLeast"/>
        </w:trPr>
        <w:tc>
          <w:tcPr>
            <w:tcW w:w="782" w:type="dxa"/>
            <w:shd w:val="clear" w:color="auto" w:fill="auto"/>
            <w:vAlign w:val="center"/>
          </w:tcPr>
          <w:p w14:paraId="1C3D0501">
            <w:pPr>
              <w:spacing w:line="480" w:lineRule="exact"/>
              <w:jc w:val="center"/>
              <w:rPr>
                <w:rFonts w:hint="eastAsia" w:cs="Times New Roman"/>
                <w:bCs/>
                <w:color w:val="000000"/>
                <w:kern w:val="0"/>
                <w:szCs w:val="21"/>
              </w:rPr>
            </w:pPr>
            <w:r>
              <w:rPr>
                <w:rFonts w:hint="eastAsia" w:cs="Times New Roman"/>
                <w:bCs/>
                <w:color w:val="000000"/>
                <w:kern w:val="0"/>
                <w:szCs w:val="21"/>
              </w:rPr>
              <w:t>序号</w:t>
            </w:r>
          </w:p>
        </w:tc>
        <w:tc>
          <w:tcPr>
            <w:tcW w:w="1924" w:type="dxa"/>
            <w:shd w:val="clear" w:color="auto" w:fill="auto"/>
            <w:vAlign w:val="center"/>
          </w:tcPr>
          <w:p w14:paraId="546F5CC6">
            <w:pPr>
              <w:spacing w:line="480" w:lineRule="exact"/>
              <w:jc w:val="center"/>
              <w:rPr>
                <w:rFonts w:hint="eastAsia" w:cs="Times New Roman"/>
                <w:bCs/>
                <w:color w:val="000000"/>
                <w:kern w:val="0"/>
                <w:szCs w:val="21"/>
              </w:rPr>
            </w:pPr>
            <w:r>
              <w:rPr>
                <w:rFonts w:hint="eastAsia" w:cs="Times New Roman"/>
                <w:bCs/>
                <w:color w:val="000000"/>
                <w:kern w:val="0"/>
                <w:szCs w:val="21"/>
              </w:rPr>
              <w:t>包号</w:t>
            </w:r>
          </w:p>
        </w:tc>
        <w:tc>
          <w:tcPr>
            <w:tcW w:w="3468" w:type="dxa"/>
            <w:shd w:val="clear" w:color="auto" w:fill="auto"/>
            <w:vAlign w:val="center"/>
          </w:tcPr>
          <w:p w14:paraId="4DB34A28">
            <w:pPr>
              <w:spacing w:line="480" w:lineRule="exact"/>
              <w:jc w:val="center"/>
              <w:rPr>
                <w:rFonts w:hint="eastAsia" w:cs="Times New Roman"/>
                <w:bCs/>
                <w:color w:val="000000"/>
                <w:kern w:val="0"/>
                <w:szCs w:val="21"/>
              </w:rPr>
            </w:pPr>
            <w:r>
              <w:rPr>
                <w:rFonts w:hint="eastAsia" w:cs="Times New Roman"/>
                <w:bCs/>
                <w:color w:val="000000"/>
                <w:kern w:val="0"/>
                <w:szCs w:val="21"/>
              </w:rPr>
              <w:t xml:space="preserve"> 包名称</w:t>
            </w:r>
          </w:p>
        </w:tc>
        <w:tc>
          <w:tcPr>
            <w:tcW w:w="1527" w:type="dxa"/>
            <w:shd w:val="clear" w:color="auto" w:fill="auto"/>
            <w:vAlign w:val="center"/>
          </w:tcPr>
          <w:p w14:paraId="5139B205">
            <w:pPr>
              <w:spacing w:line="480" w:lineRule="exact"/>
              <w:jc w:val="center"/>
              <w:rPr>
                <w:rFonts w:hint="eastAsia" w:cs="Times New Roman"/>
                <w:bCs/>
                <w:color w:val="000000"/>
                <w:kern w:val="0"/>
                <w:szCs w:val="21"/>
              </w:rPr>
            </w:pPr>
            <w:r>
              <w:rPr>
                <w:rFonts w:hint="eastAsia" w:cs="Times New Roman"/>
                <w:bCs/>
                <w:color w:val="000000"/>
                <w:kern w:val="0"/>
                <w:szCs w:val="21"/>
              </w:rPr>
              <w:t>包预算（元）</w:t>
            </w:r>
          </w:p>
        </w:tc>
        <w:tc>
          <w:tcPr>
            <w:tcW w:w="1926" w:type="dxa"/>
            <w:shd w:val="clear" w:color="auto" w:fill="auto"/>
            <w:vAlign w:val="center"/>
          </w:tcPr>
          <w:p w14:paraId="6B83AC40">
            <w:pPr>
              <w:spacing w:line="480" w:lineRule="exact"/>
              <w:jc w:val="center"/>
              <w:rPr>
                <w:rFonts w:hint="eastAsia" w:cs="Times New Roman"/>
                <w:bCs/>
                <w:color w:val="000000"/>
                <w:kern w:val="0"/>
                <w:szCs w:val="21"/>
              </w:rPr>
            </w:pPr>
            <w:r>
              <w:rPr>
                <w:rFonts w:hint="eastAsia" w:cs="Times New Roman"/>
                <w:bCs/>
                <w:color w:val="000000"/>
                <w:kern w:val="0"/>
                <w:szCs w:val="21"/>
              </w:rPr>
              <w:t>包最高限价（元）</w:t>
            </w:r>
          </w:p>
        </w:tc>
      </w:tr>
      <w:tr w14:paraId="4D309F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409" w:hRule="atLeast"/>
        </w:trPr>
        <w:tc>
          <w:tcPr>
            <w:tcW w:w="782" w:type="dxa"/>
            <w:shd w:val="clear" w:color="auto" w:fill="auto"/>
            <w:vAlign w:val="center"/>
          </w:tcPr>
          <w:p w14:paraId="0154FF3B">
            <w:pPr>
              <w:spacing w:line="480" w:lineRule="exact"/>
              <w:jc w:val="center"/>
              <w:rPr>
                <w:rFonts w:hint="eastAsia" w:cs="Times New Roman"/>
                <w:bCs/>
                <w:color w:val="000000"/>
                <w:kern w:val="0"/>
                <w:szCs w:val="21"/>
              </w:rPr>
            </w:pPr>
            <w:r>
              <w:rPr>
                <w:rFonts w:hint="eastAsia" w:cs="Times New Roman"/>
                <w:bCs/>
                <w:color w:val="000000"/>
                <w:kern w:val="0"/>
                <w:szCs w:val="21"/>
              </w:rPr>
              <w:t>1</w:t>
            </w:r>
          </w:p>
        </w:tc>
        <w:tc>
          <w:tcPr>
            <w:tcW w:w="1924" w:type="dxa"/>
            <w:shd w:val="clear" w:color="auto" w:fill="auto"/>
            <w:vAlign w:val="center"/>
          </w:tcPr>
          <w:p w14:paraId="54A80F15">
            <w:pPr>
              <w:spacing w:line="480" w:lineRule="exact"/>
              <w:jc w:val="center"/>
              <w:rPr>
                <w:rFonts w:hint="eastAsia" w:cs="Times New Roman"/>
                <w:bCs/>
                <w:color w:val="000000"/>
                <w:kern w:val="0"/>
                <w:szCs w:val="21"/>
              </w:rPr>
            </w:pPr>
            <w:r>
              <w:rPr>
                <w:rFonts w:cs="Times New Roman"/>
                <w:bCs/>
                <w:color w:val="000000"/>
                <w:kern w:val="0"/>
                <w:szCs w:val="21"/>
              </w:rPr>
              <w:t>GMFT25054</w:t>
            </w:r>
          </w:p>
        </w:tc>
        <w:tc>
          <w:tcPr>
            <w:tcW w:w="3468" w:type="dxa"/>
            <w:shd w:val="clear" w:color="auto" w:fill="auto"/>
            <w:vAlign w:val="center"/>
          </w:tcPr>
          <w:p w14:paraId="0B0C864A">
            <w:pPr>
              <w:spacing w:line="480" w:lineRule="exact"/>
              <w:jc w:val="center"/>
              <w:rPr>
                <w:rFonts w:hint="eastAsia" w:cs="Times New Roman"/>
                <w:bCs/>
                <w:color w:val="000000"/>
                <w:kern w:val="0"/>
                <w:szCs w:val="21"/>
              </w:rPr>
            </w:pPr>
            <w:r>
              <w:rPr>
                <w:rFonts w:hint="eastAsia" w:cs="Times New Roman"/>
                <w:bCs/>
                <w:color w:val="000000"/>
                <w:kern w:val="0"/>
                <w:szCs w:val="21"/>
              </w:rPr>
              <w:t>河南省新乡市中级人民法院硬件及网络安全运维服务采购项目</w:t>
            </w:r>
          </w:p>
        </w:tc>
        <w:tc>
          <w:tcPr>
            <w:tcW w:w="1527" w:type="dxa"/>
            <w:shd w:val="clear" w:color="auto" w:fill="auto"/>
            <w:vAlign w:val="center"/>
          </w:tcPr>
          <w:p w14:paraId="24136E05">
            <w:pPr>
              <w:spacing w:line="480" w:lineRule="exact"/>
              <w:jc w:val="center"/>
              <w:rPr>
                <w:rFonts w:hint="eastAsia" w:cs="Times New Roman"/>
                <w:bCs/>
                <w:color w:val="000000"/>
                <w:kern w:val="0"/>
                <w:szCs w:val="21"/>
              </w:rPr>
            </w:pPr>
            <w:r>
              <w:rPr>
                <w:rFonts w:hint="eastAsia" w:cs="Times New Roman"/>
                <w:bCs/>
                <w:color w:val="000000"/>
                <w:kern w:val="0"/>
                <w:szCs w:val="21"/>
              </w:rPr>
              <w:t>650000.00</w:t>
            </w:r>
          </w:p>
        </w:tc>
        <w:tc>
          <w:tcPr>
            <w:tcW w:w="1926" w:type="dxa"/>
            <w:shd w:val="clear" w:color="auto" w:fill="auto"/>
            <w:vAlign w:val="center"/>
          </w:tcPr>
          <w:p w14:paraId="37488ECA">
            <w:pPr>
              <w:spacing w:line="480" w:lineRule="exact"/>
              <w:jc w:val="center"/>
              <w:rPr>
                <w:rFonts w:hint="eastAsia" w:cs="Times New Roman"/>
                <w:bCs/>
                <w:color w:val="000000"/>
                <w:kern w:val="0"/>
                <w:szCs w:val="21"/>
              </w:rPr>
            </w:pPr>
            <w:r>
              <w:rPr>
                <w:rFonts w:hint="eastAsia" w:cs="Times New Roman"/>
                <w:bCs/>
                <w:color w:val="000000"/>
                <w:kern w:val="0"/>
                <w:szCs w:val="21"/>
              </w:rPr>
              <w:t>650000.00</w:t>
            </w:r>
          </w:p>
        </w:tc>
      </w:tr>
    </w:tbl>
    <w:p w14:paraId="3422AEFC">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5、采购需求（包括但不限于标的的名称、数量、简要技术需求或服务要求等）：</w:t>
      </w:r>
    </w:p>
    <w:p w14:paraId="0475AE18">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5.1、采购内容：拟派驻六名服务人员常驻项目所在地进行日常维护服务（其中4人进行日常硬件维护服务，1人进行网络安全维护服务，1人进行协助审判管理办公室日常工作服务），（具体内容详见竞争性磋商文件“第三章 采购内容及要求”）；</w:t>
      </w:r>
    </w:p>
    <w:p w14:paraId="7D73F448">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5.2、资金来源：财政资金</w:t>
      </w:r>
    </w:p>
    <w:p w14:paraId="0ACC948C">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5.4、质量标准：符合国家及行业现行相关规范和标准</w:t>
      </w:r>
    </w:p>
    <w:p w14:paraId="2645AF22">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5.5、服务期限：合同签订后一年</w:t>
      </w:r>
    </w:p>
    <w:p w14:paraId="01B561F3">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5.6、标段：本项目划分为 1 个标段</w:t>
      </w:r>
    </w:p>
    <w:p w14:paraId="73AAFBB6">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6、合同履行期限：合同签订后一年</w:t>
      </w:r>
    </w:p>
    <w:p w14:paraId="4AF4203A">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7、本项目是否接受联合体投标：否</w:t>
      </w:r>
    </w:p>
    <w:p w14:paraId="5DB2FE8D">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8、是否接受进口产品：否</w:t>
      </w:r>
    </w:p>
    <w:p w14:paraId="7FD68EF8">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二、申请人资格要求：</w:t>
      </w:r>
    </w:p>
    <w:p w14:paraId="1C68B7EB">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1、满足《中华人民共和国政府采购法》第二十二条的规定；</w:t>
      </w:r>
    </w:p>
    <w:p w14:paraId="3809C874">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2、落实政府采购政策满足的资格要求：无</w:t>
      </w:r>
    </w:p>
    <w:p w14:paraId="1AD52E47">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3、本项目的特定资格要求：</w:t>
      </w:r>
    </w:p>
    <w:p w14:paraId="5A6861C6">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（1）具有法人或者其他组织的营业执照等证明文件；</w:t>
      </w:r>
    </w:p>
    <w:p w14:paraId="58EA5DCC">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（2）具有良好的商业信誉和健全的财务会计管理制度（提供本单位 2023 年度或2024年度经审计的财务报告；如截止到开标时间投标人成立时间不足要求时限的，须提供开标前近三个月内其基本开户银行出具的资信证明）</w:t>
      </w:r>
    </w:p>
    <w:p w14:paraId="3F9A99E6">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（3）具有履行合同所必须的设备和专业技术能力；（提供具备履行合同所必须的设备和专业技术能力声明）；</w:t>
      </w:r>
    </w:p>
    <w:p w14:paraId="552C7BAE">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（4）有依法缴纳税收和社会保障资金的良好记录（提供开标前近半年任意一个月纳税和社保证明材料）；</w:t>
      </w:r>
    </w:p>
    <w:p w14:paraId="175CF99E">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（5）参加采购活动前三年内，在经营活动中没有重大违法记录（书面声明）</w:t>
      </w:r>
    </w:p>
    <w:p w14:paraId="6739CDB1">
      <w:pPr>
        <w:spacing w:line="480" w:lineRule="exact"/>
        <w:ind w:firstLine="420" w:firstLineChars="200"/>
        <w:rPr>
          <w:rFonts w:cs="Times New Roman"/>
          <w:bCs/>
          <w:color w:val="000000"/>
          <w:kern w:val="0"/>
          <w:szCs w:val="21"/>
        </w:rPr>
      </w:pPr>
      <w:r>
        <w:rPr>
          <w:rFonts w:hint="eastAsia" w:cs="Times New Roman"/>
          <w:bCs/>
          <w:color w:val="000000"/>
          <w:kern w:val="0"/>
          <w:szCs w:val="21"/>
        </w:rPr>
        <w:t>（6）本项目投标截止日期前被“信用中国”网站列入失信被执行人和严重失信主体名单的、被“中国政府采购网”网站列入政府采购严重违法失信行为记录名单（处罚期限尚未届满的），不得参与本项目的采购活动；【信用信息查询渠道：“信用中国”网站和中国政府采购网】；</w:t>
      </w:r>
    </w:p>
    <w:p w14:paraId="2115280B">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（7）单位负责人为同一人或者存在直接控股、管理关系的不同供应商，不得参加同一合同项下的采购活动。</w:t>
      </w:r>
    </w:p>
    <w:p w14:paraId="7B6B076B">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4、中标后不得分包与转包。</w:t>
      </w:r>
    </w:p>
    <w:p w14:paraId="44CADBE6">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备注：本项目实行资格后审，资格后审不合格的投标人投标响应文件按无效响应处理。</w:t>
      </w:r>
    </w:p>
    <w:p w14:paraId="7C347CAF">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三、获取采购文件</w:t>
      </w:r>
    </w:p>
    <w:p w14:paraId="7529A846">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1、凡有意参加本次采购活动的供应商，请于2025年04月16日至2025年04月22日止，每天8:30-11:30，15:00～17:30（北京时间），按照下述要求获取磋商文件，逾期不再接受。</w:t>
      </w:r>
    </w:p>
    <w:p w14:paraId="04A069D9">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2、拟参加供应商须将有效的企业法人营业执照副本、法人授权书（法定代表人也需出具授权书）、法人及被授权人身份证提供上述证明文件复印件一套</w:t>
      </w:r>
      <w:r>
        <w:rPr>
          <w:rFonts w:hint="eastAsia" w:cs="Times New Roman"/>
          <w:bCs/>
          <w:color w:val="000000"/>
          <w:kern w:val="0"/>
          <w:szCs w:val="21"/>
        </w:rPr>
        <w:fldChar w:fldCharType="begin"/>
      </w:r>
      <w:r>
        <w:rPr>
          <w:rFonts w:hint="eastAsia" w:cs="Times New Roman"/>
          <w:bCs/>
          <w:color w:val="000000"/>
          <w:kern w:val="0"/>
          <w:szCs w:val="21"/>
        </w:rPr>
        <w:instrText xml:space="preserve"> HYPERLINK "mailto:加盖公章的扫描件以压缩包的形式发送至hnsgmzb@163.com" </w:instrText>
      </w:r>
      <w:r>
        <w:rPr>
          <w:rFonts w:hint="eastAsia" w:cs="Times New Roman"/>
          <w:bCs/>
          <w:color w:val="000000"/>
          <w:kern w:val="0"/>
          <w:szCs w:val="21"/>
        </w:rPr>
        <w:fldChar w:fldCharType="separate"/>
      </w:r>
      <w:r>
        <w:rPr>
          <w:rFonts w:hint="eastAsia" w:cs="Times New Roman"/>
          <w:bCs/>
          <w:color w:val="000000"/>
          <w:kern w:val="0"/>
          <w:szCs w:val="21"/>
        </w:rPr>
        <w:t>加盖公章，将扫描件以压缩包的形式发送至gmzbxsbm@163.com</w:t>
      </w:r>
      <w:r>
        <w:rPr>
          <w:rFonts w:hint="eastAsia" w:cs="Times New Roman"/>
          <w:bCs/>
          <w:color w:val="000000"/>
          <w:kern w:val="0"/>
          <w:szCs w:val="21"/>
        </w:rPr>
        <w:fldChar w:fldCharType="end"/>
      </w:r>
      <w:r>
        <w:rPr>
          <w:rFonts w:hint="eastAsia" w:cs="Times New Roman"/>
          <w:bCs/>
          <w:color w:val="000000"/>
          <w:kern w:val="0"/>
          <w:szCs w:val="21"/>
        </w:rPr>
        <w:t>，并电话通知代理机构联系人。</w:t>
      </w:r>
    </w:p>
    <w:p w14:paraId="2A209273">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3、邮件标题为“项目名称+供应商全称”，资料齐全的供应商将回执邮件，供应商按照邮件内要求进行项目登记。否则将告知原因，供应商补齐后在磋商文件获取截止时间前可重新发送邮件，未在磋商文件获取截止时间前重新按要求发送邮件的，采购代理机构将不予受理。</w:t>
      </w:r>
    </w:p>
    <w:p w14:paraId="612F4333">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4、代理机构将以电子版的形式发送磋商文件，不再提供纸质版磋商文件。</w:t>
      </w:r>
    </w:p>
    <w:p w14:paraId="444858B9">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5、磋商文件售价：300元/份，售后不退。</w:t>
      </w:r>
    </w:p>
    <w:p w14:paraId="35997967">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九、响应文件提交的截止时间及地点：</w:t>
      </w:r>
    </w:p>
    <w:p w14:paraId="728479D4">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1、响应文件递交的截止时间：2025年04月27日 15 时00分（北京时间）。</w:t>
      </w:r>
    </w:p>
    <w:p w14:paraId="48FF7F07">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2、开标地点：新乡市牧野区鸿源街北段司法局对面河南省国贸招标有限公司开标室；逾期送达或者未送达指定地点的，采购人不予受理。</w:t>
      </w:r>
    </w:p>
    <w:p w14:paraId="2610D6F0">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十、响应文件的开启时间及地点</w:t>
      </w:r>
    </w:p>
    <w:p w14:paraId="5980503B">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1、响应文件的开启时间：2025年04月27日 15 时00分（北京时间）。</w:t>
      </w:r>
    </w:p>
    <w:p w14:paraId="29F42D1B">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2、响应文件的开启地点：新乡市牧野区鸿源街北段司法局对面河南省国贸招标有限公司开标室；逾期送达或者未送达指定地点的，采购人不予受理。</w:t>
      </w:r>
    </w:p>
    <w:p w14:paraId="58661795">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十一、公告发布媒介及公告期限：</w:t>
      </w:r>
    </w:p>
    <w:p w14:paraId="4894E20D">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本次磋商公告在《中国招标投标公共服务平台》、《新乡市中级人民法院官网》上发布，公告期限为三个工作日。</w:t>
      </w:r>
    </w:p>
    <w:p w14:paraId="52BB9541">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十二、联系方式：</w:t>
      </w:r>
    </w:p>
    <w:p w14:paraId="2B7563A5">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采购人：河南省新乡市中级人民法院</w:t>
      </w:r>
    </w:p>
    <w:p w14:paraId="142D63EF">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地址：新乡市牧野区宏力大道与鸿源街交叉口西 150 米</w:t>
      </w:r>
    </w:p>
    <w:p w14:paraId="688CBC20">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联系人：班晶</w:t>
      </w:r>
    </w:p>
    <w:p w14:paraId="7F5899F7">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联系方式：</w:t>
      </w:r>
      <w:r>
        <w:rPr>
          <w:rFonts w:cs="Times New Roman"/>
          <w:bCs/>
          <w:color w:val="000000"/>
          <w:kern w:val="0"/>
          <w:szCs w:val="21"/>
        </w:rPr>
        <w:t>0373-2731305</w:t>
      </w:r>
    </w:p>
    <w:p w14:paraId="2BF07E6F">
      <w:pPr>
        <w:spacing w:line="360" w:lineRule="auto"/>
        <w:ind w:firstLine="422" w:firstLineChars="200"/>
        <w:rPr>
          <w:rFonts w:hint="eastAsia" w:cs="Times New Roman"/>
          <w:b/>
          <w:bCs/>
          <w:szCs w:val="21"/>
        </w:rPr>
      </w:pPr>
      <w:r>
        <w:rPr>
          <w:rFonts w:hint="eastAsia" w:cs="Times New Roman"/>
          <w:b/>
          <w:bCs/>
          <w:szCs w:val="21"/>
        </w:rPr>
        <w:t>采购代理机构：河南省国贸招标有限公司</w:t>
      </w:r>
    </w:p>
    <w:p w14:paraId="5FA54A2D">
      <w:pPr>
        <w:spacing w:line="360" w:lineRule="auto"/>
        <w:ind w:firstLine="420" w:firstLineChars="200"/>
        <w:rPr>
          <w:rFonts w:hint="eastAsia" w:cs="Times New Roman"/>
          <w:szCs w:val="21"/>
        </w:rPr>
      </w:pPr>
      <w:r>
        <w:rPr>
          <w:rFonts w:hint="eastAsia" w:cs="Times New Roman"/>
          <w:szCs w:val="21"/>
        </w:rPr>
        <w:t>地    址：郑州市农业路72号国际企业中心B座三楼东侧</w:t>
      </w:r>
    </w:p>
    <w:p w14:paraId="02591CE7">
      <w:pPr>
        <w:spacing w:line="360" w:lineRule="auto"/>
        <w:ind w:firstLine="420" w:firstLineChars="200"/>
        <w:rPr>
          <w:rFonts w:hint="eastAsia" w:cs="Times New Roman"/>
          <w:szCs w:val="21"/>
        </w:rPr>
      </w:pPr>
      <w:r>
        <w:rPr>
          <w:rFonts w:hint="eastAsia" w:cs="Times New Roman"/>
          <w:szCs w:val="21"/>
        </w:rPr>
        <w:t>联 系 人：周鸫</w:t>
      </w:r>
    </w:p>
    <w:p w14:paraId="7079DBCB">
      <w:pPr>
        <w:spacing w:line="360" w:lineRule="auto"/>
        <w:ind w:firstLine="420" w:firstLineChars="200"/>
        <w:rPr>
          <w:rFonts w:hint="eastAsia" w:cs="Times New Roman"/>
          <w:szCs w:val="21"/>
        </w:rPr>
      </w:pPr>
      <w:r>
        <w:rPr>
          <w:rFonts w:hint="eastAsia" w:cs="Times New Roman"/>
          <w:szCs w:val="21"/>
        </w:rPr>
        <w:t>联系电话：173037133</w:t>
      </w:r>
      <w:r>
        <w:rPr>
          <w:rFonts w:cs="Times New Roman"/>
          <w:szCs w:val="21"/>
        </w:rPr>
        <w:t>20</w:t>
      </w:r>
    </w:p>
    <w:p w14:paraId="29DA15DC">
      <w:pPr>
        <w:spacing w:line="360" w:lineRule="auto"/>
        <w:ind w:firstLine="420" w:firstLineChars="200"/>
        <w:rPr>
          <w:rFonts w:hint="eastAsia" w:cs="Times New Roman"/>
          <w:szCs w:val="21"/>
        </w:rPr>
      </w:pPr>
      <w:r>
        <w:rPr>
          <w:rFonts w:hint="eastAsia" w:cs="Times New Roman"/>
          <w:szCs w:val="21"/>
        </w:rPr>
        <w:t>邮    箱：</w:t>
      </w:r>
      <w:r>
        <w:rPr>
          <w:rFonts w:cs="Times New Roman"/>
          <w:szCs w:val="21"/>
        </w:rPr>
        <w:t>gmzbxsbm@163.com</w:t>
      </w:r>
    </w:p>
    <w:p w14:paraId="5E884151">
      <w:pPr>
        <w:spacing w:line="480" w:lineRule="exact"/>
        <w:ind w:firstLine="420" w:firstLineChars="200"/>
        <w:rPr>
          <w:rFonts w:hint="eastAsia" w:cs="Times New Roman"/>
          <w:bCs/>
          <w:color w:val="000000"/>
          <w:kern w:val="0"/>
          <w:szCs w:val="21"/>
        </w:rPr>
      </w:pPr>
      <w:r>
        <w:rPr>
          <w:rFonts w:hint="eastAsia" w:cs="Times New Roman"/>
          <w:bCs/>
          <w:color w:val="000000"/>
          <w:kern w:val="0"/>
          <w:szCs w:val="21"/>
        </w:rPr>
        <w:t>十三、监督部门：</w:t>
      </w:r>
    </w:p>
    <w:p w14:paraId="2120A8F9">
      <w:pPr>
        <w:spacing w:line="480" w:lineRule="exact"/>
        <w:ind w:firstLine="420" w:firstLineChars="200"/>
        <w:rPr>
          <w:rFonts w:cs="Times New Roman"/>
          <w:b/>
          <w:bCs/>
          <w:szCs w:val="21"/>
        </w:rPr>
      </w:pPr>
      <w:r>
        <w:rPr>
          <w:rFonts w:hint="eastAsia" w:cs="Times New Roman"/>
          <w:bCs/>
          <w:color w:val="000000"/>
          <w:kern w:val="0"/>
          <w:szCs w:val="21"/>
        </w:rPr>
        <w:t>市纪委派驻市中级法院纪检组：</w:t>
      </w:r>
      <w:r>
        <w:rPr>
          <w:rFonts w:cs="Times New Roman"/>
          <w:bCs/>
          <w:color w:val="000000"/>
          <w:kern w:val="0"/>
          <w:szCs w:val="21"/>
        </w:rPr>
        <w:t>0373-2731010</w:t>
      </w:r>
      <w:bookmarkEnd w:id="0"/>
      <w:bookmarkEnd w:id="1"/>
      <w:bookmarkEnd w:id="2"/>
      <w:bookmarkEnd w:id="3"/>
      <w:bookmarkEnd w:id="4"/>
    </w:p>
    <w:bookmarkEnd w:id="5"/>
    <w:p w14:paraId="71D8FC33">
      <w:pPr>
        <w:rPr>
          <w:rFonts w:hint="eastAsia"/>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华文仿宋"/>
    <w:panose1 w:val="02010600030101010101"/>
    <w:charset w:val="86"/>
    <w:family w:val="auto"/>
    <w:pitch w:val="default"/>
    <w:sig w:usb0="00000000" w:usb1="00000000" w:usb2="00000016" w:usb3="00000000" w:csb0="0004000F" w:csb1="00000000"/>
  </w:font>
  <w:font w:name="华文仿宋">
    <w:panose1 w:val="02010600040101010101"/>
    <w:charset w:val="86"/>
    <w:family w:val="auto"/>
    <w:pitch w:val="default"/>
    <w:sig w:usb0="00000287" w:usb1="080F0000" w:usb2="00000000" w:usb3="00000000" w:csb0="0004009F" w:csb1="DFD70000"/>
  </w:font>
  <w:font w:name="等线">
    <w:altName w:val="华文仿宋"/>
    <w:panose1 w:val="02010600030101010101"/>
    <w:charset w:val="86"/>
    <w:family w:val="auto"/>
    <w:pitch w:val="default"/>
    <w:sig w:usb0="00000000" w:usb1="00000000" w:usb2="00000016" w:usb3="00000000" w:csb0="0004000F" w:csb1="00000000"/>
  </w:font>
  <w:font w:name="等线 Light">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474"/>
    <w:rsid w:val="00582120"/>
    <w:rsid w:val="005E3CCD"/>
    <w:rsid w:val="006667D9"/>
    <w:rsid w:val="007976C8"/>
    <w:rsid w:val="00912288"/>
    <w:rsid w:val="00972852"/>
    <w:rsid w:val="00A35474"/>
    <w:rsid w:val="00FE7B44"/>
    <w:rsid w:val="50B30176"/>
    <w:rsid w:val="65107BD2"/>
    <w:rsid w:val="CD67F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theme="minorBidi"/>
      <w:kern w:val="2"/>
      <w:sz w:val="21"/>
      <w:szCs w:val="22"/>
      <w:lang w:val="en-US" w:eastAsia="zh-CN" w:bidi="ar-SA"/>
    </w:rPr>
  </w:style>
  <w:style w:type="paragraph" w:styleId="2">
    <w:name w:val="heading 1"/>
    <w:basedOn w:val="1"/>
    <w:next w:val="1"/>
    <w:link w:val="17"/>
    <w:qFormat/>
    <w:uiPriority w:val="9"/>
    <w:pPr>
      <w:keepNext/>
      <w:keepLines/>
      <w:spacing w:before="480" w:after="80"/>
      <w:outlineLvl w:val="0"/>
    </w:pPr>
    <w:rPr>
      <w:rFonts w:asciiTheme="majorHAnsi" w:hAnsiTheme="majorHAnsi" w:eastAsiaTheme="majorEastAsia" w:cstheme="majorBidi"/>
      <w:color w:val="104862" w:themeColor="accent1" w:themeShade="BF"/>
      <w:sz w:val="48"/>
      <w:szCs w:val="48"/>
    </w:rPr>
  </w:style>
  <w:style w:type="paragraph" w:styleId="3">
    <w:name w:val="heading 2"/>
    <w:basedOn w:val="1"/>
    <w:next w:val="1"/>
    <w:link w:val="18"/>
    <w:semiHidden/>
    <w:unhideWhenUsed/>
    <w:qFormat/>
    <w:uiPriority w:val="9"/>
    <w:pPr>
      <w:keepNext/>
      <w:keepLines/>
      <w:spacing w:before="160" w:after="80"/>
      <w:outlineLvl w:val="1"/>
    </w:pPr>
    <w:rPr>
      <w:rFonts w:asciiTheme="majorHAnsi" w:hAnsiTheme="majorHAnsi" w:eastAsiaTheme="majorEastAsia" w:cstheme="majorBidi"/>
      <w:color w:val="104862" w:themeColor="accent1" w:themeShade="BF"/>
      <w:sz w:val="40"/>
      <w:szCs w:val="40"/>
    </w:rPr>
  </w:style>
  <w:style w:type="paragraph" w:styleId="4">
    <w:name w:val="heading 3"/>
    <w:basedOn w:val="1"/>
    <w:next w:val="1"/>
    <w:link w:val="19"/>
    <w:semiHidden/>
    <w:unhideWhenUsed/>
    <w:qFormat/>
    <w:uiPriority w:val="9"/>
    <w:pPr>
      <w:keepNext/>
      <w:keepLines/>
      <w:spacing w:before="160" w:after="80"/>
      <w:outlineLvl w:val="2"/>
    </w:pPr>
    <w:rPr>
      <w:rFonts w:asciiTheme="majorHAnsi" w:hAnsiTheme="majorHAnsi" w:eastAsiaTheme="majorEastAsia" w:cstheme="majorBidi"/>
      <w:color w:val="104862" w:themeColor="accent1" w:themeShade="BF"/>
      <w:sz w:val="32"/>
      <w:szCs w:val="32"/>
    </w:rPr>
  </w:style>
  <w:style w:type="paragraph" w:styleId="5">
    <w:name w:val="heading 4"/>
    <w:basedOn w:val="1"/>
    <w:next w:val="1"/>
    <w:link w:val="20"/>
    <w:semiHidden/>
    <w:unhideWhenUsed/>
    <w:qFormat/>
    <w:uiPriority w:val="9"/>
    <w:pPr>
      <w:keepNext/>
      <w:keepLines/>
      <w:spacing w:before="80" w:after="40"/>
      <w:outlineLvl w:val="3"/>
    </w:pPr>
    <w:rPr>
      <w:rFonts w:asciiTheme="minorHAnsi" w:hAnsiTheme="minorHAnsi" w:eastAsiaTheme="minorEastAsia" w:cstheme="majorBidi"/>
      <w:color w:val="104862" w:themeColor="accent1" w:themeShade="BF"/>
      <w:sz w:val="28"/>
      <w:szCs w:val="28"/>
    </w:rPr>
  </w:style>
  <w:style w:type="paragraph" w:styleId="6">
    <w:name w:val="heading 5"/>
    <w:basedOn w:val="1"/>
    <w:next w:val="1"/>
    <w:link w:val="21"/>
    <w:semiHidden/>
    <w:unhideWhenUsed/>
    <w:qFormat/>
    <w:uiPriority w:val="9"/>
    <w:pPr>
      <w:keepNext/>
      <w:keepLines/>
      <w:spacing w:before="80" w:after="40"/>
      <w:outlineLvl w:val="4"/>
    </w:pPr>
    <w:rPr>
      <w:rFonts w:asciiTheme="minorHAnsi" w:hAnsiTheme="minorHAnsi" w:eastAsiaTheme="minorEastAsia" w:cstheme="majorBidi"/>
      <w:color w:val="104862" w:themeColor="accent1" w:themeShade="BF"/>
      <w:sz w:val="24"/>
      <w:szCs w:val="24"/>
    </w:rPr>
  </w:style>
  <w:style w:type="paragraph" w:styleId="7">
    <w:name w:val="heading 6"/>
    <w:basedOn w:val="1"/>
    <w:next w:val="1"/>
    <w:link w:val="22"/>
    <w:semiHidden/>
    <w:unhideWhenUsed/>
    <w:qFormat/>
    <w:uiPriority w:val="9"/>
    <w:pPr>
      <w:keepNext/>
      <w:keepLines/>
      <w:spacing w:before="40"/>
      <w:outlineLvl w:val="5"/>
    </w:pPr>
    <w:rPr>
      <w:rFonts w:asciiTheme="minorHAnsi" w:hAnsiTheme="minorHAnsi" w:eastAsiaTheme="minorEastAsia" w:cstheme="majorBidi"/>
      <w:b/>
      <w:bCs/>
      <w:color w:val="104862" w:themeColor="accent1" w:themeShade="BF"/>
    </w:rPr>
  </w:style>
  <w:style w:type="paragraph" w:styleId="8">
    <w:name w:val="heading 7"/>
    <w:basedOn w:val="1"/>
    <w:next w:val="1"/>
    <w:link w:val="23"/>
    <w:semiHidden/>
    <w:unhideWhenUsed/>
    <w:qFormat/>
    <w:uiPriority w:val="9"/>
    <w:pPr>
      <w:keepNext/>
      <w:keepLines/>
      <w:spacing w:before="40"/>
      <w:outlineLvl w:val="6"/>
    </w:pPr>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paragraph" w:styleId="9">
    <w:name w:val="heading 8"/>
    <w:basedOn w:val="1"/>
    <w:next w:val="1"/>
    <w:link w:val="24"/>
    <w:semiHidden/>
    <w:unhideWhenUsed/>
    <w:qFormat/>
    <w:uiPriority w:val="9"/>
    <w:pPr>
      <w:keepNext/>
      <w:keepLines/>
      <w:outlineLvl w:val="7"/>
    </w:pPr>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paragraph" w:styleId="10">
    <w:name w:val="heading 9"/>
    <w:basedOn w:val="1"/>
    <w:next w:val="1"/>
    <w:link w:val="25"/>
    <w:semiHidden/>
    <w:unhideWhenUsed/>
    <w:qFormat/>
    <w:uiPriority w:val="9"/>
    <w:pPr>
      <w:keepNext/>
      <w:keepLines/>
      <w:outlineLvl w:val="8"/>
    </w:pPr>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default="1" w:styleId="16">
    <w:name w:val="Default Paragraph Font"/>
    <w:semiHidden/>
    <w:unhideWhenUsed/>
    <w:qFormat/>
    <w:uiPriority w:val="1"/>
  </w:style>
  <w:style w:type="table" w:default="1" w:styleId="15">
    <w:name w:val="Normal Table"/>
    <w:semiHidden/>
    <w:unhideWhenUsed/>
    <w:qFormat/>
    <w:uiPriority w:val="99"/>
    <w:tblPr>
      <w:tblCellMar>
        <w:top w:w="0" w:type="dxa"/>
        <w:left w:w="108" w:type="dxa"/>
        <w:bottom w:w="0" w:type="dxa"/>
        <w:right w:w="108" w:type="dxa"/>
      </w:tblCellMar>
    </w:tblPr>
  </w:style>
  <w:style w:type="paragraph" w:styleId="11">
    <w:name w:val="footer"/>
    <w:basedOn w:val="1"/>
    <w:link w:val="36"/>
    <w:unhideWhenUsed/>
    <w:qFormat/>
    <w:uiPriority w:val="99"/>
    <w:pPr>
      <w:tabs>
        <w:tab w:val="center" w:pos="4153"/>
        <w:tab w:val="right" w:pos="8306"/>
      </w:tabs>
      <w:snapToGrid w:val="0"/>
      <w:jc w:val="left"/>
    </w:pPr>
    <w:rPr>
      <w:sz w:val="18"/>
      <w:szCs w:val="18"/>
    </w:rPr>
  </w:style>
  <w:style w:type="paragraph" w:styleId="12">
    <w:name w:val="header"/>
    <w:basedOn w:val="1"/>
    <w:link w:val="35"/>
    <w:unhideWhenUsed/>
    <w:qFormat/>
    <w:uiPriority w:val="99"/>
    <w:pPr>
      <w:tabs>
        <w:tab w:val="center" w:pos="4153"/>
        <w:tab w:val="right" w:pos="8306"/>
      </w:tabs>
      <w:snapToGrid w:val="0"/>
      <w:jc w:val="center"/>
    </w:pPr>
    <w:rPr>
      <w:sz w:val="18"/>
      <w:szCs w:val="18"/>
    </w:rPr>
  </w:style>
  <w:style w:type="paragraph" w:styleId="13">
    <w:name w:val="Subtitle"/>
    <w:basedOn w:val="1"/>
    <w:next w:val="1"/>
    <w:link w:val="27"/>
    <w:qFormat/>
    <w:uiPriority w:val="11"/>
    <w:pPr>
      <w:spacing w:after="160"/>
      <w:jc w:val="center"/>
    </w:pPr>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14">
    <w:name w:val="Title"/>
    <w:basedOn w:val="1"/>
    <w:next w:val="1"/>
    <w:link w:val="26"/>
    <w:qFormat/>
    <w:uiPriority w:val="10"/>
    <w:pPr>
      <w:spacing w:after="80"/>
      <w:contextualSpacing/>
      <w:jc w:val="center"/>
    </w:pPr>
    <w:rPr>
      <w:rFonts w:asciiTheme="majorHAnsi" w:hAnsiTheme="majorHAnsi" w:eastAsiaTheme="majorEastAsia" w:cstheme="majorBidi"/>
      <w:spacing w:val="-10"/>
      <w:kern w:val="28"/>
      <w:sz w:val="56"/>
      <w:szCs w:val="56"/>
    </w:rPr>
  </w:style>
  <w:style w:type="character" w:customStyle="1" w:styleId="17">
    <w:name w:val="标题 1 字符"/>
    <w:basedOn w:val="16"/>
    <w:link w:val="2"/>
    <w:qFormat/>
    <w:uiPriority w:val="9"/>
    <w:rPr>
      <w:rFonts w:asciiTheme="majorHAnsi" w:hAnsiTheme="majorHAnsi" w:eastAsiaTheme="majorEastAsia" w:cstheme="majorBidi"/>
      <w:color w:val="104862" w:themeColor="accent1" w:themeShade="BF"/>
      <w:sz w:val="48"/>
      <w:szCs w:val="48"/>
    </w:rPr>
  </w:style>
  <w:style w:type="character" w:customStyle="1" w:styleId="18">
    <w:name w:val="标题 2 字符"/>
    <w:basedOn w:val="16"/>
    <w:link w:val="3"/>
    <w:semiHidden/>
    <w:qFormat/>
    <w:uiPriority w:val="9"/>
    <w:rPr>
      <w:rFonts w:asciiTheme="majorHAnsi" w:hAnsiTheme="majorHAnsi" w:eastAsiaTheme="majorEastAsia" w:cstheme="majorBidi"/>
      <w:color w:val="104862" w:themeColor="accent1" w:themeShade="BF"/>
      <w:sz w:val="40"/>
      <w:szCs w:val="40"/>
    </w:rPr>
  </w:style>
  <w:style w:type="character" w:customStyle="1" w:styleId="19">
    <w:name w:val="标题 3 字符"/>
    <w:basedOn w:val="16"/>
    <w:link w:val="4"/>
    <w:semiHidden/>
    <w:qFormat/>
    <w:uiPriority w:val="9"/>
    <w:rPr>
      <w:rFonts w:asciiTheme="majorHAnsi" w:hAnsiTheme="majorHAnsi" w:eastAsiaTheme="majorEastAsia" w:cstheme="majorBidi"/>
      <w:color w:val="104862" w:themeColor="accent1" w:themeShade="BF"/>
      <w:sz w:val="32"/>
      <w:szCs w:val="32"/>
    </w:rPr>
  </w:style>
  <w:style w:type="character" w:customStyle="1" w:styleId="20">
    <w:name w:val="标题 4 字符"/>
    <w:basedOn w:val="16"/>
    <w:link w:val="5"/>
    <w:semiHidden/>
    <w:qFormat/>
    <w:uiPriority w:val="9"/>
    <w:rPr>
      <w:rFonts w:asciiTheme="minorHAnsi" w:hAnsiTheme="minorHAnsi" w:eastAsiaTheme="minorEastAsia" w:cstheme="majorBidi"/>
      <w:color w:val="104862" w:themeColor="accent1" w:themeShade="BF"/>
      <w:sz w:val="28"/>
      <w:szCs w:val="28"/>
    </w:rPr>
  </w:style>
  <w:style w:type="character" w:customStyle="1" w:styleId="21">
    <w:name w:val="标题 5 字符"/>
    <w:basedOn w:val="16"/>
    <w:link w:val="6"/>
    <w:semiHidden/>
    <w:qFormat/>
    <w:uiPriority w:val="9"/>
    <w:rPr>
      <w:rFonts w:asciiTheme="minorHAnsi" w:hAnsiTheme="minorHAnsi" w:eastAsiaTheme="minorEastAsia" w:cstheme="majorBidi"/>
      <w:color w:val="104862" w:themeColor="accent1" w:themeShade="BF"/>
      <w:sz w:val="24"/>
      <w:szCs w:val="24"/>
    </w:rPr>
  </w:style>
  <w:style w:type="character" w:customStyle="1" w:styleId="22">
    <w:name w:val="标题 6 字符"/>
    <w:basedOn w:val="16"/>
    <w:link w:val="7"/>
    <w:semiHidden/>
    <w:qFormat/>
    <w:uiPriority w:val="9"/>
    <w:rPr>
      <w:rFonts w:asciiTheme="minorHAnsi" w:hAnsiTheme="minorHAnsi" w:eastAsiaTheme="minorEastAsia" w:cstheme="majorBidi"/>
      <w:b/>
      <w:bCs/>
      <w:color w:val="104862" w:themeColor="accent1" w:themeShade="BF"/>
    </w:rPr>
  </w:style>
  <w:style w:type="character" w:customStyle="1" w:styleId="23">
    <w:name w:val="标题 7 字符"/>
    <w:basedOn w:val="16"/>
    <w:link w:val="8"/>
    <w:semiHidden/>
    <w:qFormat/>
    <w:uiPriority w:val="9"/>
    <w:rPr>
      <w:rFonts w:asciiTheme="minorHAnsi" w:hAnsiTheme="minorHAnsi" w:eastAsiaTheme="minorEastAsia" w:cstheme="majorBidi"/>
      <w:b/>
      <w:bCs/>
      <w:color w:val="595959" w:themeColor="text1" w:themeTint="A6"/>
      <w14:textFill>
        <w14:solidFill>
          <w14:schemeClr w14:val="tx1">
            <w14:lumMod w14:val="65000"/>
            <w14:lumOff w14:val="35000"/>
          </w14:schemeClr>
        </w14:solidFill>
      </w14:textFill>
    </w:rPr>
  </w:style>
  <w:style w:type="character" w:customStyle="1" w:styleId="24">
    <w:name w:val="标题 8 字符"/>
    <w:basedOn w:val="16"/>
    <w:link w:val="9"/>
    <w:semiHidden/>
    <w:qFormat/>
    <w:uiPriority w:val="9"/>
    <w:rPr>
      <w:rFonts w:asciiTheme="minorHAnsi" w:hAnsiTheme="minorHAnsi" w:eastAsiaTheme="minorEastAsia" w:cstheme="majorBidi"/>
      <w:color w:val="595959" w:themeColor="text1" w:themeTint="A6"/>
      <w14:textFill>
        <w14:solidFill>
          <w14:schemeClr w14:val="tx1">
            <w14:lumMod w14:val="65000"/>
            <w14:lumOff w14:val="35000"/>
          </w14:schemeClr>
        </w14:solidFill>
      </w14:textFill>
    </w:rPr>
  </w:style>
  <w:style w:type="character" w:customStyle="1" w:styleId="25">
    <w:name w:val="标题 9 字符"/>
    <w:basedOn w:val="16"/>
    <w:link w:val="10"/>
    <w:semiHidden/>
    <w:qFormat/>
    <w:uiPriority w:val="9"/>
    <w:rPr>
      <w:rFonts w:asciiTheme="minorHAnsi" w:hAnsiTheme="minorHAnsi" w:eastAsiaTheme="majorEastAsia" w:cstheme="majorBidi"/>
      <w:color w:val="595959" w:themeColor="text1" w:themeTint="A6"/>
      <w14:textFill>
        <w14:solidFill>
          <w14:schemeClr w14:val="tx1">
            <w14:lumMod w14:val="65000"/>
            <w14:lumOff w14:val="35000"/>
          </w14:schemeClr>
        </w14:solidFill>
      </w14:textFill>
    </w:rPr>
  </w:style>
  <w:style w:type="character" w:customStyle="1" w:styleId="26">
    <w:name w:val="标题 字符"/>
    <w:basedOn w:val="16"/>
    <w:link w:val="14"/>
    <w:qFormat/>
    <w:uiPriority w:val="10"/>
    <w:rPr>
      <w:rFonts w:asciiTheme="majorHAnsi" w:hAnsiTheme="majorHAnsi" w:eastAsiaTheme="majorEastAsia" w:cstheme="majorBidi"/>
      <w:spacing w:val="-10"/>
      <w:kern w:val="28"/>
      <w:sz w:val="56"/>
      <w:szCs w:val="56"/>
    </w:rPr>
  </w:style>
  <w:style w:type="character" w:customStyle="1" w:styleId="27">
    <w:name w:val="副标题 字符"/>
    <w:basedOn w:val="16"/>
    <w:link w:val="13"/>
    <w:qFormat/>
    <w:uiPriority w:val="11"/>
    <w:rPr>
      <w:rFonts w:asciiTheme="majorHAnsi" w:hAnsiTheme="majorHAnsi" w:eastAsiaTheme="majorEastAsia" w:cstheme="majorBidi"/>
      <w:color w:val="595959" w:themeColor="text1" w:themeTint="A6"/>
      <w:spacing w:val="15"/>
      <w:sz w:val="28"/>
      <w:szCs w:val="28"/>
      <w14:textFill>
        <w14:solidFill>
          <w14:schemeClr w14:val="tx1">
            <w14:lumMod w14:val="65000"/>
            <w14:lumOff w14:val="35000"/>
          </w14:schemeClr>
        </w14:solidFill>
      </w14:textFill>
    </w:rPr>
  </w:style>
  <w:style w:type="paragraph" w:styleId="28">
    <w:name w:val="Quote"/>
    <w:basedOn w:val="1"/>
    <w:next w:val="1"/>
    <w:link w:val="29"/>
    <w:qFormat/>
    <w:uiPriority w:val="29"/>
    <w:pPr>
      <w:spacing w:before="160" w:after="160"/>
      <w:jc w:val="center"/>
    </w:pPr>
    <w:rPr>
      <w:i/>
      <w:iCs/>
      <w:color w:val="404040" w:themeColor="text1" w:themeTint="BF"/>
      <w14:textFill>
        <w14:solidFill>
          <w14:schemeClr w14:val="tx1">
            <w14:lumMod w14:val="75000"/>
            <w14:lumOff w14:val="25000"/>
          </w14:schemeClr>
        </w14:solidFill>
      </w14:textFill>
    </w:rPr>
  </w:style>
  <w:style w:type="character" w:customStyle="1" w:styleId="29">
    <w:name w:val="引用 字符"/>
    <w:basedOn w:val="16"/>
    <w:link w:val="28"/>
    <w:qFormat/>
    <w:uiPriority w:val="29"/>
    <w:rPr>
      <w:i/>
      <w:iCs/>
      <w:color w:val="404040" w:themeColor="text1" w:themeTint="BF"/>
      <w14:textFill>
        <w14:solidFill>
          <w14:schemeClr w14:val="tx1">
            <w14:lumMod w14:val="75000"/>
            <w14:lumOff w14:val="25000"/>
          </w14:schemeClr>
        </w14:solidFill>
      </w14:textFill>
    </w:rPr>
  </w:style>
  <w:style w:type="paragraph" w:styleId="30">
    <w:name w:val="List Paragraph"/>
    <w:basedOn w:val="1"/>
    <w:qFormat/>
    <w:uiPriority w:val="34"/>
    <w:pPr>
      <w:ind w:left="720"/>
      <w:contextualSpacing/>
    </w:pPr>
  </w:style>
  <w:style w:type="character" w:customStyle="1" w:styleId="31">
    <w:name w:val="Intense Emphasis"/>
    <w:basedOn w:val="16"/>
    <w:qFormat/>
    <w:uiPriority w:val="21"/>
    <w:rPr>
      <w:i/>
      <w:iCs/>
      <w:color w:val="104862" w:themeColor="accent1" w:themeShade="BF"/>
    </w:rPr>
  </w:style>
  <w:style w:type="paragraph" w:styleId="32">
    <w:name w:val="Intense Quote"/>
    <w:basedOn w:val="1"/>
    <w:next w:val="1"/>
    <w:link w:val="33"/>
    <w:qFormat/>
    <w:uiPriority w:val="30"/>
    <w:pPr>
      <w:pBdr>
        <w:top w:val="single" w:color="0F4761" w:themeColor="accent1" w:themeShade="BF" w:sz="4" w:space="10"/>
        <w:bottom w:val="single" w:color="0F4761" w:themeColor="accent1" w:themeShade="BF" w:sz="4" w:space="10"/>
      </w:pBdr>
      <w:spacing w:before="360" w:after="360"/>
      <w:ind w:left="864" w:right="864"/>
      <w:jc w:val="center"/>
    </w:pPr>
    <w:rPr>
      <w:i/>
      <w:iCs/>
      <w:color w:val="104862" w:themeColor="accent1" w:themeShade="BF"/>
    </w:rPr>
  </w:style>
  <w:style w:type="character" w:customStyle="1" w:styleId="33">
    <w:name w:val="明显引用 字符"/>
    <w:basedOn w:val="16"/>
    <w:link w:val="32"/>
    <w:qFormat/>
    <w:uiPriority w:val="30"/>
    <w:rPr>
      <w:i/>
      <w:iCs/>
      <w:color w:val="104862" w:themeColor="accent1" w:themeShade="BF"/>
    </w:rPr>
  </w:style>
  <w:style w:type="character" w:customStyle="1" w:styleId="34">
    <w:name w:val="Intense Reference"/>
    <w:basedOn w:val="16"/>
    <w:qFormat/>
    <w:uiPriority w:val="32"/>
    <w:rPr>
      <w:b/>
      <w:bCs/>
      <w:smallCaps/>
      <w:color w:val="104862" w:themeColor="accent1" w:themeShade="BF"/>
      <w:spacing w:val="5"/>
    </w:rPr>
  </w:style>
  <w:style w:type="character" w:customStyle="1" w:styleId="35">
    <w:name w:val="页眉 字符"/>
    <w:basedOn w:val="16"/>
    <w:link w:val="12"/>
    <w:qFormat/>
    <w:uiPriority w:val="99"/>
    <w:rPr>
      <w:sz w:val="18"/>
      <w:szCs w:val="18"/>
    </w:rPr>
  </w:style>
  <w:style w:type="character" w:customStyle="1" w:styleId="36">
    <w:name w:val="页脚 字符"/>
    <w:basedOn w:val="16"/>
    <w:link w:val="11"/>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1810</Words>
  <Characters>1973</Characters>
  <Lines>15</Lines>
  <Paragraphs>4</Paragraphs>
  <TotalTime>1</TotalTime>
  <ScaleCrop>false</ScaleCrop>
  <LinksUpToDate>false</LinksUpToDate>
  <CharactersWithSpaces>1995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2025-04-15T10:21:00Z</dcterms:created>
  <dc:creator>Administrator</dc:creator>
  <cp:lastModifiedBy>班晶</cp:lastModifiedBy>
  <dcterms:modified xsi:type="dcterms:W3CDTF">2025-04-15T07:19:52Z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eyJoZGlkIjoiMDZmOTczMGNiYjgxNTRlNGU1MzE5YWM4NjI0ZjRlM2MiLCJ1c2VySWQiOiIyODUxMzg5ODUifQ==</vt:lpwstr>
  </property>
  <property fmtid="{D5CDD505-2E9C-101B-9397-08002B2CF9AE}" pid="3" name="KSOProductBuildVer">
    <vt:lpwstr>2052-12.1.0.20784</vt:lpwstr>
  </property>
  <property fmtid="{D5CDD505-2E9C-101B-9397-08002B2CF9AE}" pid="4" name="ICV">
    <vt:lpwstr>59775F27BE5043388F6AD754D66586E3_12</vt:lpwstr>
  </property>
</Properties>
</file>